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529">
      <w:pPr>
        <w:pStyle w:val="6"/>
        <w:widowControl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/>
          <w:bCs/>
          <w:kern w:val="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1"/>
        </w:rPr>
        <w:t>附件</w:t>
      </w:r>
    </w:p>
    <w:p w14:paraId="6098504E">
      <w:pPr>
        <w:spacing w:line="240" w:lineRule="auto"/>
        <w:jc w:val="both"/>
        <w:rPr>
          <w:rFonts w:hint="eastAsia" w:ascii="仿宋" w:hAnsi="仿宋" w:eastAsia="仿宋" w:cs="仿宋"/>
          <w:b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0653C30B">
      <w:pPr>
        <w:pStyle w:val="7"/>
        <w:ind w:left="0" w:leftChars="0" w:firstLine="0" w:firstLineChars="0"/>
        <w:jc w:val="center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/>
        </w:rPr>
        <w:t>沈阳市第五人民医院环评报告表编制项目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  <w:t>综合评分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/>
        </w:rPr>
        <w:t>细则</w:t>
      </w:r>
    </w:p>
    <w:tbl>
      <w:tblPr>
        <w:tblStyle w:val="8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35"/>
        <w:gridCol w:w="735"/>
        <w:gridCol w:w="765"/>
        <w:gridCol w:w="6675"/>
      </w:tblGrid>
      <w:tr w14:paraId="5E9A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1733D9FA">
            <w:pPr>
              <w:pStyle w:val="7"/>
              <w:rPr>
                <w:rFonts w:hint="eastAsia"/>
              </w:rPr>
            </w:pPr>
          </w:p>
          <w:p w14:paraId="1CB7B30B">
            <w:pPr>
              <w:pStyle w:val="7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7BA4F3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175" w:type="dxa"/>
            <w:gridSpan w:val="3"/>
            <w:noWrap w:val="0"/>
            <w:vAlign w:val="center"/>
          </w:tcPr>
          <w:p w14:paraId="603D8BE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488E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CD6F20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695F984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44F33E9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分项</w:t>
            </w:r>
          </w:p>
          <w:p w14:paraId="5F9477E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5" w:type="dxa"/>
            <w:noWrap w:val="0"/>
            <w:vAlign w:val="center"/>
          </w:tcPr>
          <w:p w14:paraId="370F67F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满分分值</w:t>
            </w:r>
          </w:p>
        </w:tc>
        <w:tc>
          <w:tcPr>
            <w:tcW w:w="6675" w:type="dxa"/>
            <w:noWrap w:val="0"/>
            <w:vAlign w:val="center"/>
          </w:tcPr>
          <w:p w14:paraId="3D130C6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0A20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68" w:type="dxa"/>
            <w:noWrap w:val="0"/>
            <w:vAlign w:val="center"/>
          </w:tcPr>
          <w:p w14:paraId="53F4ABC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797A922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3ED2DBE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5" w:type="dxa"/>
            <w:noWrap w:val="0"/>
            <w:vAlign w:val="center"/>
          </w:tcPr>
          <w:p w14:paraId="4CB6E19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65" w:type="dxa"/>
            <w:noWrap w:val="0"/>
            <w:vAlign w:val="center"/>
          </w:tcPr>
          <w:p w14:paraId="71971738">
            <w:pPr>
              <w:spacing w:line="240" w:lineRule="auto"/>
              <w:ind w:left="105" w:leftChars="5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675" w:type="dxa"/>
            <w:noWrap w:val="0"/>
            <w:vAlign w:val="center"/>
          </w:tcPr>
          <w:p w14:paraId="5DAD3F89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基准价：满足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文件全部实质性要求且最后报价最低的供应商的价格为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基准价。</w:t>
            </w:r>
          </w:p>
          <w:p w14:paraId="6F297A84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2.其他合格供应商的价格分统一按照下列公式计算：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报价得分＝（</w:t>
            </w:r>
            <w:bookmarkStart w:id="0" w:name="OLE_LINK7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基准价／最后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谈判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报价）×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。得分保留至小数点后两位，第三位四舍五入。</w:t>
            </w:r>
          </w:p>
        </w:tc>
      </w:tr>
      <w:tr w14:paraId="5AF7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7A03590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9151B5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BE7FA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1DA05BC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5E7E1D2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F6167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06F622B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765" w:type="dxa"/>
            <w:noWrap w:val="0"/>
            <w:vAlign w:val="center"/>
          </w:tcPr>
          <w:p w14:paraId="20B35E0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总体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工作方案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bookmarkEnd w:id="1"/>
          </w:p>
        </w:tc>
        <w:tc>
          <w:tcPr>
            <w:tcW w:w="6675" w:type="dxa"/>
            <w:noWrap w:val="0"/>
            <w:vAlign w:val="center"/>
          </w:tcPr>
          <w:p w14:paraId="7C52F0E4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供应商根据招标文件要求编制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工作方案：</w:t>
            </w:r>
          </w:p>
          <w:p w14:paraId="0D00DD03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工作方案编制完整、内容全面，针对性可实施性强，得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409EDF4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工作方案编制基本完整、内容较全面，针对性实施性较强，得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3394AC0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工作方案编制一般，实施性一般得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8AE74B4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提供不得分。</w:t>
            </w:r>
          </w:p>
        </w:tc>
      </w:tr>
      <w:tr w14:paraId="5DAA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A27EF1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04A9D9D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0F7AEB6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43177E7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团队人员配备8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bookmarkEnd w:id="2"/>
          </w:p>
        </w:tc>
        <w:tc>
          <w:tcPr>
            <w:tcW w:w="6675" w:type="dxa"/>
            <w:noWrap w:val="0"/>
            <w:vAlign w:val="center"/>
          </w:tcPr>
          <w:p w14:paraId="66BDCF27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投入的项目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团队人员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满足本项目需要，做到机构健全、职责明确、人员齐备、专业配套。</w:t>
            </w:r>
          </w:p>
          <w:p w14:paraId="09C0CBB4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专业人员配备充足，机构健全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，职责明确</w:t>
            </w:r>
            <w:bookmarkStart w:id="3" w:name="OLE_LINK8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bookmarkEnd w:id="3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FB42B77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专业人员配备基本充足，机构基本健全，职责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明确得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1B1A7CEA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专业人员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齐全，机构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基本健全，职责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明确得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86460EA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未提供项目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团队人员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信息不得分。</w:t>
            </w:r>
          </w:p>
        </w:tc>
      </w:tr>
      <w:tr w14:paraId="7CDE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02C49A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310B514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1119025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143CB5D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4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进度计划安排8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bookmarkEnd w:id="4"/>
          </w:p>
        </w:tc>
        <w:tc>
          <w:tcPr>
            <w:tcW w:w="6675" w:type="dxa"/>
            <w:noWrap w:val="0"/>
            <w:vAlign w:val="center"/>
          </w:tcPr>
          <w:p w14:paraId="2FD0AAE5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供应商编制进度安排：</w:t>
            </w:r>
          </w:p>
          <w:p w14:paraId="05D98C48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工作进度设置科学、合理，逻辑性强</w:t>
            </w:r>
            <w:bookmarkStart w:id="5" w:name="OLE_LINK10"/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bookmarkEnd w:id="5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A69E905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工作进度设置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合理，逻辑性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较可行的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25CB97B2">
            <w:pPr>
              <w:pStyle w:val="10"/>
              <w:spacing w:line="240" w:lineRule="auto"/>
              <w:ind w:right="-29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工作进度设置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逻辑性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9B946F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提供不得分。</w:t>
            </w:r>
          </w:p>
        </w:tc>
      </w:tr>
      <w:tr w14:paraId="3158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99BCE1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65E070E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2586336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07A0243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5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配备方案8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bookmarkEnd w:id="6"/>
          </w:p>
        </w:tc>
        <w:tc>
          <w:tcPr>
            <w:tcW w:w="6675" w:type="dxa"/>
            <w:noWrap w:val="0"/>
            <w:vAlign w:val="center"/>
          </w:tcPr>
          <w:p w14:paraId="400C7F0A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对为本项目提供的设备设施是否齐全、合理进行评分</w:t>
            </w:r>
          </w:p>
          <w:p w14:paraId="54EE935F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配备方案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编制合理，能保证项目的实施，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设备设施齐全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7CE59D11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配备方案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编制较为合理，能保证项目的实施，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设备设施较齐全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2127B06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配备方案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编制一般，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不能完全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保证项目的实施，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设备设施不齐全，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71407CF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提供不得分。</w:t>
            </w:r>
          </w:p>
        </w:tc>
      </w:tr>
      <w:tr w14:paraId="280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1635C0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19BC73E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2B3AF87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 w14:paraId="6B05C61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6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质量保证措施8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bookmarkEnd w:id="7"/>
          </w:p>
        </w:tc>
        <w:tc>
          <w:tcPr>
            <w:tcW w:w="6675" w:type="dxa"/>
            <w:noWrap w:val="0"/>
            <w:vAlign w:val="center"/>
          </w:tcPr>
          <w:p w14:paraId="5DB63FA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编制合理，能保证项目的实施，可操作性强，得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80FFC8A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编制较为合理，能保证项目的实施，可操作性较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7136A29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编制一般，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不能完全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保证项目的实施，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可操作性一般，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187AD94E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提供不得分。</w:t>
            </w:r>
          </w:p>
        </w:tc>
      </w:tr>
      <w:tr w14:paraId="6C0C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701DFFB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1816869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 w14:paraId="28077D8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5" w:type="dxa"/>
            <w:noWrap w:val="0"/>
            <w:vAlign w:val="center"/>
          </w:tcPr>
          <w:p w14:paraId="114FD09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765" w:type="dxa"/>
            <w:noWrap w:val="0"/>
            <w:vAlign w:val="center"/>
          </w:tcPr>
          <w:p w14:paraId="213BDB7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0763107F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9"/>
            <w:bookmarkStart w:id="9" w:name="OLE_LINK11"/>
            <w:bookmarkStart w:id="10" w:name="OLE_LINK12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拟投入本项目项目负责人具备</w:t>
            </w:r>
            <w:bookmarkStart w:id="11" w:name="OLE_LINK13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bookmarkStart w:id="12" w:name="OLE_LINK14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环评工程师证书</w:t>
            </w:r>
            <w:bookmarkEnd w:id="11"/>
            <w:bookmarkEnd w:id="12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</w:t>
            </w:r>
            <w:bookmarkEnd w:id="8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具备高级及以上职称（环境类）得4分；</w:t>
            </w:r>
          </w:p>
          <w:bookmarkEnd w:id="9"/>
          <w:p w14:paraId="5652F66B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拟投入本项目项目负责人具备注册环评工程师证书且具备中级职称（环境类）得2分；</w:t>
            </w:r>
          </w:p>
          <w:p w14:paraId="291C4275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其他不得分。</w:t>
            </w:r>
          </w:p>
          <w:p w14:paraId="511B048F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（提供注册环评工程师证书、职称证及近3个月内任意一个月社保证明）</w:t>
            </w:r>
            <w:bookmarkEnd w:id="10"/>
          </w:p>
        </w:tc>
      </w:tr>
      <w:tr w14:paraId="0E82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727316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6C3348A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5F95370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765" w:type="dxa"/>
            <w:noWrap w:val="0"/>
            <w:vAlign w:val="center"/>
          </w:tcPr>
          <w:p w14:paraId="49A8BF1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529C9774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拟投入本项目技术负责人同时具备中级及以上职称（环境类）且具备注册环评工程师证书得4分，其他不得分。</w:t>
            </w:r>
          </w:p>
          <w:p w14:paraId="0519E333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（提供注册环评工程师证书、职称证及近3个月内任意一个月社保证明）</w:t>
            </w:r>
          </w:p>
        </w:tc>
      </w:tr>
      <w:tr w14:paraId="12DE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3A6AA3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7D01E67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630D854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项目团队组成</w:t>
            </w:r>
          </w:p>
        </w:tc>
        <w:tc>
          <w:tcPr>
            <w:tcW w:w="765" w:type="dxa"/>
            <w:noWrap w:val="0"/>
            <w:vAlign w:val="center"/>
          </w:tcPr>
          <w:p w14:paraId="5367B50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08A6574C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除项目负责人及技术负责人外，每新具备1名注册环评工程师，得1分，此项最多得4分。</w:t>
            </w:r>
          </w:p>
          <w:p w14:paraId="33FB2C10">
            <w:pPr>
              <w:pStyle w:val="7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（提供注册环评工程师证书及近3个月内任意一个月社保证明）</w:t>
            </w:r>
          </w:p>
        </w:tc>
      </w:tr>
      <w:tr w14:paraId="6628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02929B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55A6A91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5457741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体系</w:t>
            </w:r>
          </w:p>
          <w:p w14:paraId="75F3426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</w:tc>
        <w:tc>
          <w:tcPr>
            <w:tcW w:w="765" w:type="dxa"/>
            <w:noWrap w:val="0"/>
            <w:vAlign w:val="center"/>
          </w:tcPr>
          <w:p w14:paraId="4642A51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6CB1E495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具有有效期内的质量管理体系认证证书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环境管理体系认证证书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职业健康安全管理体系认证证书的，得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，否则不得分；</w:t>
            </w:r>
          </w:p>
          <w:p w14:paraId="2474C71D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（提供证书复印件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没有或未提供的不得分）</w:t>
            </w:r>
          </w:p>
        </w:tc>
      </w:tr>
      <w:tr w14:paraId="77B3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7BD47C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67ACDEE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4B1D8B8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  <w:p w14:paraId="48E6A45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765" w:type="dxa"/>
            <w:noWrap w:val="0"/>
            <w:vAlign w:val="center"/>
          </w:tcPr>
          <w:p w14:paraId="4E6807A9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048E98D2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企业在环境影响评价信用平台（http://114.251.10.92:8080/XYPT/）守信名单的，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50A68B95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提供平台截图证明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未提供的不得分）</w:t>
            </w:r>
          </w:p>
        </w:tc>
      </w:tr>
      <w:tr w14:paraId="2213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D2BE00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0FC7B94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3293A1C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 w14:paraId="1229AD0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65" w:type="dxa"/>
            <w:noWrap w:val="0"/>
            <w:vAlign w:val="center"/>
          </w:tcPr>
          <w:p w14:paraId="3F1A75F6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675" w:type="dxa"/>
            <w:noWrap w:val="0"/>
            <w:vAlign w:val="center"/>
          </w:tcPr>
          <w:p w14:paraId="0C356BFC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提供经审计的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2024年完整的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财务报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告并且</w:t>
            </w:r>
            <w:bookmarkStart w:id="13" w:name="OLE_LINK1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利润为盈利状态</w:t>
            </w:r>
            <w:bookmarkEnd w:id="13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，得4分，否则不得分。</w:t>
            </w:r>
          </w:p>
        </w:tc>
      </w:tr>
      <w:tr w14:paraId="6984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7C0523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35930CA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678AE5A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D97692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765" w:type="dxa"/>
            <w:noWrap w:val="0"/>
            <w:vAlign w:val="center"/>
          </w:tcPr>
          <w:p w14:paraId="6C6A0AAA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6675" w:type="dxa"/>
            <w:noWrap w:val="0"/>
            <w:vAlign w:val="center"/>
          </w:tcPr>
          <w:p w14:paraId="536E0855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2022年至今承担过类似环境影响评价报告的业绩，每提供一项业绩证明的得1.5分，满分6分。</w:t>
            </w:r>
            <w:bookmarkStart w:id="14" w:name="_GoBack"/>
            <w:bookmarkEnd w:id="14"/>
          </w:p>
          <w:p w14:paraId="12A72C3E">
            <w:pPr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(需附加盖供应商公章的项目合同复印件，时间以合同签订时间为准）</w:t>
            </w:r>
          </w:p>
          <w:p w14:paraId="155124D9"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（提供证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明合同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或中标通知书，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没有或未提供的不得分）</w:t>
            </w:r>
          </w:p>
        </w:tc>
      </w:tr>
      <w:tr w14:paraId="1C12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38" w:type="dxa"/>
            <w:gridSpan w:val="3"/>
            <w:noWrap w:val="0"/>
            <w:vAlign w:val="center"/>
          </w:tcPr>
          <w:p w14:paraId="40C80DC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65" w:type="dxa"/>
            <w:noWrap w:val="0"/>
            <w:vAlign w:val="center"/>
          </w:tcPr>
          <w:p w14:paraId="4607100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75" w:type="dxa"/>
            <w:noWrap w:val="0"/>
            <w:vAlign w:val="center"/>
          </w:tcPr>
          <w:p w14:paraId="14F0B02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B75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49A4E"/>
    <w:multiLevelType w:val="singleLevel"/>
    <w:tmpl w:val="53C49A4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mQxNzU5M2NkMGJhMTQwNmQ2Y2U2Y2VhNDlmYjMifQ=="/>
    <w:docVar w:name="KSO_WPS_MARK_KEY" w:val="35ce8817-f659-42e7-bab5-c7be4ae5c67a"/>
  </w:docVars>
  <w:rsids>
    <w:rsidRoot w:val="1D43414C"/>
    <w:rsid w:val="02BB4F8D"/>
    <w:rsid w:val="0873596D"/>
    <w:rsid w:val="1D43414C"/>
    <w:rsid w:val="2075768C"/>
    <w:rsid w:val="28175213"/>
    <w:rsid w:val="2BD07C8B"/>
    <w:rsid w:val="37D61A9C"/>
    <w:rsid w:val="3B15574D"/>
    <w:rsid w:val="45B92953"/>
    <w:rsid w:val="488717E9"/>
    <w:rsid w:val="48D355DC"/>
    <w:rsid w:val="4A4D2E6A"/>
    <w:rsid w:val="4F995AF2"/>
    <w:rsid w:val="51B30A34"/>
    <w:rsid w:val="542410AE"/>
    <w:rsid w:val="593B39C7"/>
    <w:rsid w:val="70207D77"/>
    <w:rsid w:val="70862203"/>
    <w:rsid w:val="714C3300"/>
    <w:rsid w:val="7C865C6B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0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4"/>
    <w:unhideWhenUsed/>
    <w:qFormat/>
    <w:uiPriority w:val="0"/>
    <w:pPr>
      <w:ind w:firstLine="420" w:firstLineChars="200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1352</Words>
  <Characters>1400</Characters>
  <Lines>0</Lines>
  <Paragraphs>0</Paragraphs>
  <TotalTime>3</TotalTime>
  <ScaleCrop>false</ScaleCrop>
  <LinksUpToDate>false</LinksUpToDate>
  <CharactersWithSpaces>1400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2025-03-21T06:21:00Z</dcterms:created>
  <dc:creator>cxm</dc:creator>
  <cp:lastModifiedBy>孙斌</cp:lastModifiedBy>
  <dcterms:modified xsi:type="dcterms:W3CDTF">2025-04-02T02:23:54Z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41756EC9AAA5410F928659E3B7E9F0A2_11</vt:lpwstr>
  </property>
</Properties>
</file>